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B7" w:rsidRDefault="002C35B7" w:rsidP="002C35B7">
      <w:pPr>
        <w:jc w:val="right"/>
        <w:rPr>
          <w:rFonts w:hint="cs"/>
          <w:rtl/>
          <w:lang w:bidi="ar-JO"/>
        </w:rPr>
      </w:pPr>
    </w:p>
    <w:p w:rsidR="00C572B6" w:rsidRDefault="00C572B6" w:rsidP="002C35B7">
      <w:pPr>
        <w:jc w:val="right"/>
        <w:rPr>
          <w:rtl/>
        </w:rPr>
      </w:pPr>
    </w:p>
    <w:p w:rsidR="00561AD7" w:rsidRDefault="00561AD7" w:rsidP="00561AD7">
      <w:pPr>
        <w:ind w:left="360"/>
        <w:jc w:val="lowKashida"/>
        <w:rPr>
          <w:rFonts w:cs="Arabic Transparent"/>
          <w:sz w:val="28"/>
          <w:szCs w:val="28"/>
          <w:rtl/>
        </w:rPr>
      </w:pPr>
    </w:p>
    <w:p w:rsidR="00E46F86" w:rsidRPr="00E46F86" w:rsidRDefault="00E46F86" w:rsidP="00E46F86">
      <w:pPr>
        <w:bidi w:val="0"/>
        <w:rPr>
          <w:rFonts w:asciiTheme="minorBidi" w:hAnsiTheme="minorBidi"/>
          <w:sz w:val="24"/>
          <w:szCs w:val="24"/>
        </w:rPr>
      </w:pPr>
    </w:p>
    <w:p w:rsidR="00E46F86" w:rsidRPr="00E46F86" w:rsidRDefault="00E46F86" w:rsidP="00E46F86">
      <w:pPr>
        <w:bidi w:val="0"/>
        <w:jc w:val="center"/>
        <w:rPr>
          <w:rFonts w:asciiTheme="minorBidi" w:hAnsiTheme="minorBidi"/>
          <w:sz w:val="24"/>
          <w:szCs w:val="24"/>
        </w:rPr>
      </w:pPr>
      <w:r w:rsidRPr="00E46F86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63D0E6C7" wp14:editId="603242BF">
            <wp:extent cx="3971925" cy="1104900"/>
            <wp:effectExtent l="0" t="0" r="9525" b="0"/>
            <wp:docPr id="1" name="Picture 1" descr="C:\Users\eva.LTRCGOV\Desktop\logo-2-color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.LTRCGOV\Desktop\logo-2-colors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F86" w:rsidRPr="00E46F86" w:rsidRDefault="00E46F86" w:rsidP="00E46F86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</w:rPr>
      </w:pPr>
    </w:p>
    <w:p w:rsidR="00E46F86" w:rsidRPr="00E46F86" w:rsidRDefault="00E46F86" w:rsidP="00E46F86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</w:rPr>
      </w:pPr>
    </w:p>
    <w:p w:rsidR="00E46F86" w:rsidRPr="00AE3699" w:rsidRDefault="00E46F86" w:rsidP="00887F34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ar-SA" w:bidi="ar-JO"/>
        </w:rPr>
      </w:pPr>
      <w:r w:rsidRPr="00AE369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ar-SA" w:bidi="ar-JO"/>
        </w:rPr>
        <w:t xml:space="preserve">ملحق رقم </w:t>
      </w:r>
      <w:r w:rsidR="00887F34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ar-SA" w:bidi="ar-JO"/>
        </w:rPr>
        <w:t>1</w:t>
      </w:r>
    </w:p>
    <w:p w:rsidR="00E46F86" w:rsidRPr="00E46F86" w:rsidRDefault="00E46F86" w:rsidP="00E46F86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eastAsia="ar-SA"/>
        </w:rPr>
      </w:pPr>
    </w:p>
    <w:p w:rsidR="003A2FD5" w:rsidRPr="00AE3699" w:rsidRDefault="003A2FD5" w:rsidP="003A2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rtl/>
          <w:lang w:bidi="ar-JO"/>
        </w:rPr>
      </w:pPr>
    </w:p>
    <w:p w:rsidR="00E46F86" w:rsidRPr="00E46F86" w:rsidRDefault="00E46F86" w:rsidP="00E46F86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lang w:bidi="ar-JO"/>
        </w:rPr>
      </w:pPr>
    </w:p>
    <w:p w:rsidR="009252CE" w:rsidRPr="009252CE" w:rsidRDefault="009252CE" w:rsidP="009252CE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color w:val="000000" w:themeColor="text1"/>
          <w:sz w:val="24"/>
          <w:szCs w:val="24"/>
          <w:rtl/>
          <w:lang w:bidi="ar-JO"/>
        </w:rPr>
      </w:pPr>
    </w:p>
    <w:p w:rsidR="009252CE" w:rsidRPr="009252CE" w:rsidRDefault="009252CE" w:rsidP="009252CE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bidi="ar-JO"/>
        </w:rPr>
      </w:pPr>
      <w:r w:rsidRPr="009252CE">
        <w:rPr>
          <w:rFonts w:ascii="Sakkal Majalla" w:eastAsia="Times New Roman" w:hAnsi="Sakkal Majalla" w:cs="Sakkal Majalla" w:hint="cs"/>
          <w:b/>
          <w:bCs/>
          <w:color w:val="000000" w:themeColor="text1"/>
          <w:sz w:val="28"/>
          <w:szCs w:val="28"/>
          <w:rtl/>
          <w:lang w:bidi="ar-JO"/>
        </w:rPr>
        <w:t>العطاء المحلي رقم (  6 /2018) الخاص</w:t>
      </w:r>
    </w:p>
    <w:p w:rsidR="009252CE" w:rsidRPr="009252CE" w:rsidRDefault="009252CE" w:rsidP="009252CE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sz w:val="28"/>
          <w:szCs w:val="28"/>
          <w:rtl/>
          <w:lang w:bidi="ar-JO"/>
        </w:rPr>
      </w:pPr>
    </w:p>
    <w:p w:rsidR="009252CE" w:rsidRPr="009252CE" w:rsidRDefault="009252CE" w:rsidP="009252CE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9252CE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ب</w:t>
      </w:r>
      <w:r w:rsidRPr="009252CE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إعداد الدراسات والتصاميم وإعداد وثائق عطاء </w:t>
      </w:r>
      <w:r w:rsidRPr="009252CE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توسعة مشروع</w:t>
      </w:r>
    </w:p>
    <w:p w:rsidR="009252CE" w:rsidRPr="009252CE" w:rsidRDefault="009252CE" w:rsidP="009252CE">
      <w:pPr>
        <w:tabs>
          <w:tab w:val="right" w:pos="283"/>
          <w:tab w:val="right" w:pos="2409"/>
        </w:tabs>
        <w:spacing w:after="0" w:line="240" w:lineRule="auto"/>
        <w:ind w:left="141"/>
        <w:contextualSpacing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9252CE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</w:t>
      </w:r>
      <w:r w:rsidRPr="009252CE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مركز الانطلاق والوصول</w:t>
      </w:r>
      <w:r w:rsidRPr="009252CE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في محافظة الطفيلة </w:t>
      </w:r>
    </w:p>
    <w:p w:rsidR="009252CE" w:rsidRPr="009252CE" w:rsidRDefault="009252CE" w:rsidP="009252CE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E46F86" w:rsidRPr="00E46F86" w:rsidRDefault="00E46F86" w:rsidP="00E46F86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</w:rPr>
      </w:pPr>
    </w:p>
    <w:p w:rsidR="00E46F86" w:rsidRPr="00E46F86" w:rsidRDefault="00E46F86" w:rsidP="00E46F86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</w:rPr>
      </w:pPr>
    </w:p>
    <w:p w:rsidR="00E46F86" w:rsidRPr="00E46F86" w:rsidRDefault="00E46F86" w:rsidP="00E46F86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</w:rPr>
      </w:pPr>
    </w:p>
    <w:p w:rsidR="00E46F86" w:rsidRPr="00E46F86" w:rsidRDefault="00E46F86" w:rsidP="00E46F86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</w:rPr>
      </w:pPr>
    </w:p>
    <w:p w:rsidR="00E46F86" w:rsidRPr="00E46F86" w:rsidRDefault="00E46F86" w:rsidP="00E46F86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</w:rPr>
      </w:pPr>
    </w:p>
    <w:p w:rsidR="00E671C6" w:rsidRDefault="00E671C6" w:rsidP="00E671C6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AE3699" w:rsidRDefault="00AE3699" w:rsidP="00AE3699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AE3699" w:rsidRDefault="00AE3699" w:rsidP="00AE3699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AE3699" w:rsidRDefault="00AE3699" w:rsidP="00AE3699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E671C6" w:rsidRDefault="00E671C6" w:rsidP="00E671C6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7270FC" w:rsidRDefault="007270FC" w:rsidP="007270FC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7270FC" w:rsidRDefault="007270FC" w:rsidP="007270FC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7270FC" w:rsidRDefault="007270FC" w:rsidP="007270FC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7270FC" w:rsidRDefault="009252CE" w:rsidP="007270FC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  <w:lang w:bidi="ar-JO"/>
        </w:rPr>
      </w:pPr>
      <w:r>
        <w:rPr>
          <w:rFonts w:asciiTheme="majorBidi" w:eastAsiaTheme="majorEastAsia" w:hAnsiTheme="majorBidi" w:cstheme="majorBidi" w:hint="cs"/>
          <w:b/>
          <w:spacing w:val="5"/>
          <w:kern w:val="28"/>
          <w:sz w:val="24"/>
          <w:szCs w:val="24"/>
          <w:rtl/>
          <w:lang w:bidi="ar-JO"/>
        </w:rPr>
        <w:t>29/10/2018</w:t>
      </w:r>
    </w:p>
    <w:p w:rsidR="007270FC" w:rsidRDefault="007270FC" w:rsidP="007270FC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7270FC" w:rsidRDefault="007270FC" w:rsidP="007270FC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7270FC" w:rsidRDefault="007270FC" w:rsidP="007270FC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7270FC" w:rsidRDefault="007270FC" w:rsidP="007270FC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  <w:rtl/>
        </w:rPr>
      </w:pPr>
    </w:p>
    <w:p w:rsidR="007270FC" w:rsidRDefault="007270FC" w:rsidP="007270FC">
      <w:pPr>
        <w:bidi w:val="0"/>
        <w:spacing w:after="300" w:line="240" w:lineRule="auto"/>
        <w:contextualSpacing/>
        <w:jc w:val="center"/>
        <w:rPr>
          <w:rFonts w:asciiTheme="majorBidi" w:eastAsiaTheme="majorEastAsia" w:hAnsiTheme="majorBidi" w:cstheme="majorBidi"/>
          <w:b/>
          <w:spacing w:val="5"/>
          <w:kern w:val="28"/>
          <w:sz w:val="24"/>
          <w:szCs w:val="24"/>
        </w:rPr>
      </w:pPr>
    </w:p>
    <w:p w:rsidR="004E270E" w:rsidRDefault="004E270E" w:rsidP="004E270E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أ) الاستفسار : ورد ضمن البند 6 (ص24) أن من واجب الاستشاري اثناء مراحل الدراسات والتصميم والخدمات الهندسية المطلوبة تقديم تقرير الدراسة البيئية والتراثية ، نرجو التأكيد .؟</w:t>
      </w:r>
    </w:p>
    <w:p w:rsidR="004E270E" w:rsidRDefault="004E270E" w:rsidP="004E270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الاجابة : الالتزام بما ورد في العطاء وتقديم دراسة بيئية تراثية للمشروع</w:t>
      </w:r>
      <w:r w:rsidR="006E0FC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</w:p>
    <w:p w:rsidR="004E270E" w:rsidRDefault="004E270E" w:rsidP="004E270E">
      <w:pPr>
        <w:rPr>
          <w:sz w:val="28"/>
          <w:szCs w:val="28"/>
          <w:rtl/>
        </w:rPr>
      </w:pPr>
    </w:p>
    <w:p w:rsidR="004E270E" w:rsidRDefault="004E270E" w:rsidP="004E270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ب) الاستفسار : يوجد تعارض ( عدم توافق) بعدد النسخ المطلوبة ضمن اعمال المرحلة الثالثة / مرحلة التصميم النهائي ووثائق العطاء والتقرير النهائي . يرجى التوضيح .</w:t>
      </w:r>
    </w:p>
    <w:p w:rsidR="004E270E" w:rsidRDefault="004E270E" w:rsidP="004E270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الإجابة: المطلوب تقديم فقط (5) نسخ كما ورد في الفقرة الأولى من بند اعمال المرحلة الثالثة.</w:t>
      </w:r>
    </w:p>
    <w:p w:rsidR="004E270E" w:rsidRDefault="004E270E" w:rsidP="004E270E">
      <w:pPr>
        <w:rPr>
          <w:sz w:val="28"/>
          <w:szCs w:val="28"/>
          <w:rtl/>
        </w:rPr>
      </w:pPr>
    </w:p>
    <w:p w:rsidR="004E270E" w:rsidRDefault="004E270E" w:rsidP="004E270E">
      <w:pPr>
        <w:pStyle w:val="ListParagraph"/>
        <w:spacing w:after="0" w:line="360" w:lineRule="auto"/>
        <w:ind w:left="-14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sz w:val="28"/>
          <w:szCs w:val="28"/>
          <w:rtl/>
        </w:rPr>
        <w:t>ج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  <w:t>) الاستفسار : ورد ضمن البند 9 من اعمال المرحلة الثالثة تقديم تقرير المرحلة شاملاً الكلفة التقديرية اللازمة للإجراءات الاحترازية عن تقييم الأثر البيئي وكذلك كلفة ما يلزم للمحافظة على الآثار . يرجى التأكيد .</w:t>
      </w:r>
    </w:p>
    <w:p w:rsidR="004E270E" w:rsidRDefault="004E270E" w:rsidP="004E270E">
      <w:pPr>
        <w:rPr>
          <w:rFonts w:ascii="Times New Roman" w:eastAsia="Times New Roman" w:hAnsi="Times New Roman" w:cs="Times New Roman"/>
          <w:sz w:val="28"/>
          <w:szCs w:val="28"/>
          <w:lang w:bidi="ar-JO"/>
        </w:rPr>
      </w:pPr>
    </w:p>
    <w:p w:rsidR="004E270E" w:rsidRDefault="004E270E" w:rsidP="004E270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الاجابة: الالتزام بما ورد في العطاء وتقديم تقرير يشمل الكلفة التقديرية للإجراءات الاحترازية عن تقييم الأثر البيئي وكذلك كلفة ما يلزم للمحافظة على الآثار</w:t>
      </w:r>
      <w:r w:rsidR="003621F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</w:p>
    <w:p w:rsidR="004E270E" w:rsidRDefault="004E270E" w:rsidP="004E270E">
      <w:pPr>
        <w:rPr>
          <w:sz w:val="28"/>
          <w:szCs w:val="28"/>
          <w:rtl/>
        </w:rPr>
      </w:pPr>
    </w:p>
    <w:p w:rsidR="004E270E" w:rsidRDefault="004E270E" w:rsidP="004E270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د) الاستفسار :  ورد بالبند 10 من متطلبات المرحلة الرابعة/ مرحلة المخططات ووثائق العطاء النهائية (ص27)   على الاستشاري تقديم منظور بمقياس رسم مناسب . يرجى التأكيد . </w:t>
      </w:r>
    </w:p>
    <w:p w:rsidR="004E270E" w:rsidRDefault="004E270E" w:rsidP="004E270E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</w:t>
      </w:r>
    </w:p>
    <w:p w:rsidR="004E270E" w:rsidRDefault="004E270E" w:rsidP="004E270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الإجابة : الالتزام بان تشمل اعمال المرحلة الرابعة منظور بمقياس مناسب للمشروع</w:t>
      </w:r>
      <w:r w:rsidR="003621F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</w:p>
    <w:p w:rsidR="004E270E" w:rsidRDefault="004E270E" w:rsidP="004E270E">
      <w:pPr>
        <w:pStyle w:val="NormalWeb"/>
        <w:tabs>
          <w:tab w:val="left" w:pos="571"/>
        </w:tabs>
        <w:bidi/>
        <w:spacing w:before="0" w:beforeAutospacing="0" w:after="0" w:afterAutospacing="0"/>
        <w:jc w:val="both"/>
        <w:rPr>
          <w:rFonts w:cs="Arabic Transparent"/>
          <w:sz w:val="28"/>
          <w:szCs w:val="28"/>
        </w:rPr>
      </w:pPr>
    </w:p>
    <w:p w:rsidR="004E270E" w:rsidRDefault="004E270E" w:rsidP="004E270E">
      <w:pPr>
        <w:pStyle w:val="ListParagraph"/>
        <w:ind w:left="432" w:hanging="450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>
        <w:rPr>
          <w:rFonts w:cs="Arabic Transparent"/>
          <w:sz w:val="28"/>
          <w:szCs w:val="28"/>
          <w:rtl/>
        </w:rPr>
        <w:t xml:space="preserve">هـ) الاستفسار: 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  <w:t>يرجى تزويدنا بصورة جوية توضح حدود المجمع الجديد مع التأكيد بأن المساحة الكلية للمجمع هي 12,000 م2 (شاملاً 1,500 م2 للمباني)</w:t>
      </w:r>
      <w:r w:rsidR="009C2ECD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  <w:t>.</w:t>
      </w:r>
    </w:p>
    <w:p w:rsidR="004E270E" w:rsidRDefault="004E270E" w:rsidP="003529D8">
      <w:pPr>
        <w:pStyle w:val="ListParagraph"/>
        <w:ind w:left="432" w:hanging="450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  <w:t xml:space="preserve">الاجابة : </w:t>
      </w:r>
      <w:r w:rsidR="003529D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حدود المجمع الجديد حسب الصور المرفقة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  <w:t xml:space="preserve"> والمساحة الكلية للمجمع والبالغة (12,000) م 2  تشمل مساحة المباني البالغة 1,500 م2</w:t>
      </w:r>
      <w:r w:rsidR="003529D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  <w:t>.</w:t>
      </w:r>
    </w:p>
    <w:p w:rsidR="004E270E" w:rsidRDefault="004E270E" w:rsidP="004E270E">
      <w:pPr>
        <w:pStyle w:val="ListParagraph"/>
        <w:ind w:left="432" w:hanging="450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4E270E" w:rsidRDefault="004E270E" w:rsidP="004E270E">
      <w:pPr>
        <w:pStyle w:val="ListParagraph"/>
        <w:ind w:left="522" w:hanging="360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  <w:t>و) الاستفسار:  يرجى تمديد موعد التسليم لأسبوع إضافي ليصبح في 5/11/2018.</w:t>
      </w:r>
    </w:p>
    <w:p w:rsidR="004E270E" w:rsidRDefault="004E270E" w:rsidP="004E270E">
      <w:pPr>
        <w:pStyle w:val="ListParagraph"/>
        <w:ind w:left="522" w:hanging="360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  <w:t xml:space="preserve"> الاجابة : تم التمديد</w:t>
      </w:r>
      <w:r w:rsidR="003529D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لتاريخ 5/11/2018 .</w:t>
      </w:r>
    </w:p>
    <w:p w:rsidR="004E270E" w:rsidRDefault="004E270E" w:rsidP="004E270E">
      <w:pPr>
        <w:rPr>
          <w:rFonts w:ascii="Times New Roman" w:eastAsia="Times New Roman" w:hAnsi="Times New Roman" w:cs="Times New Roman"/>
          <w:color w:val="000000"/>
          <w:sz w:val="24"/>
          <w:szCs w:val="24"/>
          <w:lang w:bidi="ar-JO"/>
        </w:rPr>
      </w:pPr>
      <w:r>
        <w:rPr>
          <w:rFonts w:hint="cs"/>
          <w:color w:val="000000"/>
          <w:rtl/>
        </w:rPr>
        <w:t> </w:t>
      </w:r>
    </w:p>
    <w:p w:rsidR="00A30827" w:rsidRDefault="00A30827" w:rsidP="004E270E">
      <w:pPr>
        <w:spacing w:after="0" w:line="240" w:lineRule="auto"/>
        <w:rPr>
          <w:lang w:bidi="ar-JO"/>
        </w:rPr>
      </w:pPr>
    </w:p>
    <w:sectPr w:rsidR="00A30827" w:rsidSect="007563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60" w:rsidRDefault="00E01D60">
      <w:pPr>
        <w:spacing w:after="0" w:line="240" w:lineRule="auto"/>
      </w:pPr>
      <w:r>
        <w:separator/>
      </w:r>
    </w:p>
  </w:endnote>
  <w:endnote w:type="continuationSeparator" w:id="0">
    <w:p w:rsidR="00E01D60" w:rsidRDefault="00E0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C3" w:rsidRDefault="00743C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602611"/>
      <w:docPartObj>
        <w:docPartGallery w:val="Page Numbers (Bottom of Page)"/>
        <w:docPartUnique/>
      </w:docPartObj>
    </w:sdtPr>
    <w:sdtEndPr/>
    <w:sdtContent>
      <w:p w:rsidR="00887F34" w:rsidRDefault="00887F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E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324F" w:rsidRDefault="00E01D60" w:rsidP="004E52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C3" w:rsidRDefault="00743C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60" w:rsidRDefault="00E01D60">
      <w:pPr>
        <w:spacing w:after="0" w:line="240" w:lineRule="auto"/>
      </w:pPr>
      <w:r>
        <w:separator/>
      </w:r>
    </w:p>
  </w:footnote>
  <w:footnote w:type="continuationSeparator" w:id="0">
    <w:p w:rsidR="00E01D60" w:rsidRDefault="00E0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C3" w:rsidRDefault="00743C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C3" w:rsidRDefault="00743C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C3" w:rsidRDefault="00743C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ABC"/>
    <w:multiLevelType w:val="hybridMultilevel"/>
    <w:tmpl w:val="84AE94C0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90A7BEC"/>
    <w:multiLevelType w:val="hybridMultilevel"/>
    <w:tmpl w:val="7F428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84286"/>
    <w:multiLevelType w:val="hybridMultilevel"/>
    <w:tmpl w:val="F6C22388"/>
    <w:lvl w:ilvl="0" w:tplc="ECA40F8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abic Transparent"/>
        <w:sz w:val="32"/>
      </w:rPr>
    </w:lvl>
    <w:lvl w:ilvl="1" w:tplc="6A32663C">
      <w:start w:val="1"/>
      <w:numFmt w:val="arabicAlpha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02D1E"/>
    <w:multiLevelType w:val="hybridMultilevel"/>
    <w:tmpl w:val="35A2E9DE"/>
    <w:lvl w:ilvl="0" w:tplc="0409000F">
      <w:start w:val="10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BF287F"/>
    <w:multiLevelType w:val="hybridMultilevel"/>
    <w:tmpl w:val="16586F40"/>
    <w:lvl w:ilvl="0" w:tplc="1B1C7D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abic Transparen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A2A81"/>
    <w:multiLevelType w:val="hybridMultilevel"/>
    <w:tmpl w:val="3C76F008"/>
    <w:lvl w:ilvl="0" w:tplc="1A2E97F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6A32663C">
      <w:start w:val="1"/>
      <w:numFmt w:val="arabicAlpha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75B52"/>
    <w:multiLevelType w:val="hybridMultilevel"/>
    <w:tmpl w:val="2534AD64"/>
    <w:lvl w:ilvl="0" w:tplc="75E097D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7">
    <w:nsid w:val="30FB44BC"/>
    <w:multiLevelType w:val="hybridMultilevel"/>
    <w:tmpl w:val="C8FC105E"/>
    <w:lvl w:ilvl="0" w:tplc="FD149D1C">
      <w:start w:val="1"/>
      <w:numFmt w:val="decimal"/>
      <w:lvlText w:val="%1)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8">
    <w:nsid w:val="335201DF"/>
    <w:multiLevelType w:val="hybridMultilevel"/>
    <w:tmpl w:val="00589AF8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">
    <w:nsid w:val="6A410737"/>
    <w:multiLevelType w:val="hybridMultilevel"/>
    <w:tmpl w:val="F1E8E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364E9"/>
    <w:multiLevelType w:val="hybridMultilevel"/>
    <w:tmpl w:val="2BEC8A90"/>
    <w:lvl w:ilvl="0" w:tplc="11680A2A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86"/>
    <w:rsid w:val="00040CEC"/>
    <w:rsid w:val="00045EDF"/>
    <w:rsid w:val="00053CE4"/>
    <w:rsid w:val="00090552"/>
    <w:rsid w:val="001073C0"/>
    <w:rsid w:val="00122522"/>
    <w:rsid w:val="00183381"/>
    <w:rsid w:val="001B6ECE"/>
    <w:rsid w:val="001F0A85"/>
    <w:rsid w:val="00200F9F"/>
    <w:rsid w:val="0020640C"/>
    <w:rsid w:val="00214621"/>
    <w:rsid w:val="002200EF"/>
    <w:rsid w:val="00223A7C"/>
    <w:rsid w:val="00232B12"/>
    <w:rsid w:val="002446E4"/>
    <w:rsid w:val="00257C80"/>
    <w:rsid w:val="0026403C"/>
    <w:rsid w:val="0029056B"/>
    <w:rsid w:val="002A3813"/>
    <w:rsid w:val="002B33C7"/>
    <w:rsid w:val="002B6A50"/>
    <w:rsid w:val="002C35B7"/>
    <w:rsid w:val="002E2D54"/>
    <w:rsid w:val="00303B2F"/>
    <w:rsid w:val="003254D5"/>
    <w:rsid w:val="003529D8"/>
    <w:rsid w:val="003621FB"/>
    <w:rsid w:val="00367CAF"/>
    <w:rsid w:val="00367D2A"/>
    <w:rsid w:val="003A2FD5"/>
    <w:rsid w:val="003F250F"/>
    <w:rsid w:val="00476D2F"/>
    <w:rsid w:val="00481C32"/>
    <w:rsid w:val="004E270E"/>
    <w:rsid w:val="005077F1"/>
    <w:rsid w:val="0052421E"/>
    <w:rsid w:val="00561AD7"/>
    <w:rsid w:val="00590E76"/>
    <w:rsid w:val="005959D8"/>
    <w:rsid w:val="005A42C6"/>
    <w:rsid w:val="005B46FA"/>
    <w:rsid w:val="005C2EC6"/>
    <w:rsid w:val="005F1539"/>
    <w:rsid w:val="00607B77"/>
    <w:rsid w:val="00626F8E"/>
    <w:rsid w:val="00631A19"/>
    <w:rsid w:val="00636678"/>
    <w:rsid w:val="00650110"/>
    <w:rsid w:val="00662896"/>
    <w:rsid w:val="006713D5"/>
    <w:rsid w:val="0069006A"/>
    <w:rsid w:val="00694A5F"/>
    <w:rsid w:val="006B23D2"/>
    <w:rsid w:val="006B4AE9"/>
    <w:rsid w:val="006C06ED"/>
    <w:rsid w:val="006E0FCF"/>
    <w:rsid w:val="006F3BC5"/>
    <w:rsid w:val="007270FC"/>
    <w:rsid w:val="00743CC3"/>
    <w:rsid w:val="00765A2C"/>
    <w:rsid w:val="007717F6"/>
    <w:rsid w:val="007C19B1"/>
    <w:rsid w:val="007E3C52"/>
    <w:rsid w:val="007F2E24"/>
    <w:rsid w:val="00847E34"/>
    <w:rsid w:val="00887F34"/>
    <w:rsid w:val="00891566"/>
    <w:rsid w:val="008A5B44"/>
    <w:rsid w:val="008C30B9"/>
    <w:rsid w:val="008D0902"/>
    <w:rsid w:val="008D6674"/>
    <w:rsid w:val="008F2081"/>
    <w:rsid w:val="00912AE0"/>
    <w:rsid w:val="009252CE"/>
    <w:rsid w:val="00967A3A"/>
    <w:rsid w:val="00985299"/>
    <w:rsid w:val="00996FF2"/>
    <w:rsid w:val="009C07F1"/>
    <w:rsid w:val="009C2ECD"/>
    <w:rsid w:val="009D2A74"/>
    <w:rsid w:val="00A30827"/>
    <w:rsid w:val="00A3235A"/>
    <w:rsid w:val="00A62A39"/>
    <w:rsid w:val="00A67FC4"/>
    <w:rsid w:val="00A954DB"/>
    <w:rsid w:val="00A97284"/>
    <w:rsid w:val="00AC5DD8"/>
    <w:rsid w:val="00AD0055"/>
    <w:rsid w:val="00AE3699"/>
    <w:rsid w:val="00B75367"/>
    <w:rsid w:val="00BD2A7D"/>
    <w:rsid w:val="00BD6412"/>
    <w:rsid w:val="00BD7C81"/>
    <w:rsid w:val="00BE5487"/>
    <w:rsid w:val="00BF7CA9"/>
    <w:rsid w:val="00C32CB6"/>
    <w:rsid w:val="00C572B6"/>
    <w:rsid w:val="00C8156A"/>
    <w:rsid w:val="00CA6A19"/>
    <w:rsid w:val="00CD49B5"/>
    <w:rsid w:val="00CE417B"/>
    <w:rsid w:val="00D30EC3"/>
    <w:rsid w:val="00D40E10"/>
    <w:rsid w:val="00E01D60"/>
    <w:rsid w:val="00E46F86"/>
    <w:rsid w:val="00E5761E"/>
    <w:rsid w:val="00E671C6"/>
    <w:rsid w:val="00E971F2"/>
    <w:rsid w:val="00EA4CBF"/>
    <w:rsid w:val="00EB525A"/>
    <w:rsid w:val="00EB7A5A"/>
    <w:rsid w:val="00EC5D5C"/>
    <w:rsid w:val="00EF3F83"/>
    <w:rsid w:val="00F442FC"/>
    <w:rsid w:val="00F766FC"/>
    <w:rsid w:val="00FA2B22"/>
    <w:rsid w:val="00FC1D90"/>
    <w:rsid w:val="00FC7D3E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6F86"/>
    <w:pPr>
      <w:tabs>
        <w:tab w:val="center" w:pos="4153"/>
        <w:tab w:val="right" w:pos="8306"/>
      </w:tabs>
      <w:bidi w:val="0"/>
      <w:spacing w:after="0" w:line="240" w:lineRule="auto"/>
    </w:pPr>
    <w:rPr>
      <w:rFonts w:asciiTheme="minorBidi" w:hAnsi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46F86"/>
    <w:rPr>
      <w:rFonts w:asciiTheme="minorBidi" w:hAnsiTheme="minorBidi"/>
      <w:sz w:val="24"/>
    </w:rPr>
  </w:style>
  <w:style w:type="table" w:styleId="TableGrid">
    <w:name w:val="Table Grid"/>
    <w:basedOn w:val="TableNormal"/>
    <w:uiPriority w:val="59"/>
    <w:rsid w:val="00E46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F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61A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A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AD7"/>
  </w:style>
  <w:style w:type="paragraph" w:styleId="ListParagraph">
    <w:name w:val="List Paragraph"/>
    <w:basedOn w:val="Normal"/>
    <w:uiPriority w:val="34"/>
    <w:qFormat/>
    <w:rsid w:val="00AE36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27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6F86"/>
    <w:pPr>
      <w:tabs>
        <w:tab w:val="center" w:pos="4153"/>
        <w:tab w:val="right" w:pos="8306"/>
      </w:tabs>
      <w:bidi w:val="0"/>
      <w:spacing w:after="0" w:line="240" w:lineRule="auto"/>
    </w:pPr>
    <w:rPr>
      <w:rFonts w:asciiTheme="minorBidi" w:hAnsi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46F86"/>
    <w:rPr>
      <w:rFonts w:asciiTheme="minorBidi" w:hAnsiTheme="minorBidi"/>
      <w:sz w:val="24"/>
    </w:rPr>
  </w:style>
  <w:style w:type="table" w:styleId="TableGrid">
    <w:name w:val="Table Grid"/>
    <w:basedOn w:val="TableNormal"/>
    <w:uiPriority w:val="59"/>
    <w:rsid w:val="00E46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F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61A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A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AD7"/>
  </w:style>
  <w:style w:type="paragraph" w:styleId="ListParagraph">
    <w:name w:val="List Paragraph"/>
    <w:basedOn w:val="Normal"/>
    <w:uiPriority w:val="34"/>
    <w:qFormat/>
    <w:rsid w:val="00AE36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27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5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91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36EA-1A35-4C1E-B0B7-EF92E4AB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Radya Obeidat</dc:creator>
  <cp:lastModifiedBy>Radya Obeidat</cp:lastModifiedBy>
  <cp:revision>2</cp:revision>
  <cp:lastPrinted>2018-10-25T06:38:00Z</cp:lastPrinted>
  <dcterms:created xsi:type="dcterms:W3CDTF">2018-10-31T07:15:00Z</dcterms:created>
  <dcterms:modified xsi:type="dcterms:W3CDTF">2018-10-31T07:15:00Z</dcterms:modified>
</cp:coreProperties>
</file>